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EE" w:rsidRDefault="00FF2ECE">
      <w:pPr>
        <w:pStyle w:val="NormalWeb"/>
        <w:spacing w:before="0" w:beforeAutospacing="0" w:after="0" w:afterAutospacing="0"/>
        <w:rPr>
          <w:rFonts w:ascii="Calibri Light" w:hAnsi="Calibri Light" w:cs="Calibri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 xml:space="preserve">Nonappropriated Fund Standard General Ledger Working </w:t>
      </w:r>
      <w:r w:rsidR="00131ECA">
        <w:rPr>
          <w:rFonts w:ascii="Calibri Light" w:hAnsi="Calibri Light" w:cs="Calibri"/>
          <w:color w:val="000000"/>
          <w:sz w:val="40"/>
          <w:szCs w:val="40"/>
        </w:rPr>
        <w:t>G</w:t>
      </w:r>
      <w:r w:rsidR="00784DF4">
        <w:rPr>
          <w:rFonts w:ascii="Calibri Light" w:hAnsi="Calibri Light" w:cs="Calibri"/>
          <w:color w:val="000000"/>
          <w:sz w:val="40"/>
          <w:szCs w:val="40"/>
        </w:rPr>
        <w:t>roup</w:t>
      </w:r>
      <w:r>
        <w:rPr>
          <w:rFonts w:ascii="Calibri Light" w:hAnsi="Calibri Light" w:cs="Calibri"/>
          <w:color w:val="000000"/>
          <w:sz w:val="40"/>
          <w:szCs w:val="40"/>
        </w:rPr>
        <w:t xml:space="preserve"> Meeting Notes</w:t>
      </w:r>
    </w:p>
    <w:p w:rsidR="00AB45EE" w:rsidRDefault="00131ECA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Thursday, August 28, 2014</w:t>
      </w:r>
      <w:bookmarkStart w:id="0" w:name="_GoBack"/>
      <w:bookmarkEnd w:id="0"/>
    </w:p>
    <w:p w:rsidR="00AB45EE" w:rsidRDefault="00784DF4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9</w:t>
      </w:r>
      <w:r w:rsidR="00131ECA">
        <w:rPr>
          <w:rFonts w:ascii="Calibri" w:hAnsi="Calibri" w:cs="Calibri"/>
          <w:color w:val="808080"/>
          <w:sz w:val="20"/>
          <w:szCs w:val="20"/>
        </w:rPr>
        <w:t xml:space="preserve"> AM</w:t>
      </w:r>
      <w:r>
        <w:rPr>
          <w:rFonts w:ascii="Calibri" w:hAnsi="Calibri" w:cs="Calibri"/>
          <w:color w:val="808080"/>
          <w:sz w:val="20"/>
          <w:szCs w:val="20"/>
        </w:rPr>
        <w:t xml:space="preserve"> – 12 PM</w:t>
      </w:r>
    </w:p>
    <w:p w:rsidR="00784DF4" w:rsidRDefault="00784DF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84DF4" w:rsidRDefault="00784DF4" w:rsidP="00784DF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Status Update - Jeremy</w:t>
      </w:r>
    </w:p>
    <w:p w:rsidR="00823A3E" w:rsidRDefault="00784DF4" w:rsidP="00784DF4">
      <w:pPr>
        <w:pStyle w:val="ListParagraph"/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784DF4">
        <w:rPr>
          <w:rFonts w:ascii="Calibri" w:hAnsi="Calibri"/>
          <w:color w:val="000000"/>
          <w:sz w:val="22"/>
          <w:szCs w:val="22"/>
        </w:rPr>
        <w:t>Sta</w:t>
      </w:r>
      <w:r w:rsidR="00823A3E">
        <w:rPr>
          <w:rFonts w:ascii="Calibri" w:hAnsi="Calibri"/>
          <w:color w:val="000000"/>
          <w:sz w:val="22"/>
          <w:szCs w:val="22"/>
        </w:rPr>
        <w:t>rting new phases of the project</w:t>
      </w:r>
      <w:r w:rsidRPr="00784DF4">
        <w:rPr>
          <w:rFonts w:ascii="Calibri" w:hAnsi="Calibri"/>
          <w:color w:val="000000"/>
          <w:sz w:val="22"/>
          <w:szCs w:val="22"/>
        </w:rPr>
        <w:t xml:space="preserve"> </w:t>
      </w:r>
    </w:p>
    <w:p w:rsidR="00462440" w:rsidRDefault="00784DF4" w:rsidP="00823A3E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784DF4">
        <w:rPr>
          <w:rFonts w:ascii="Calibri" w:hAnsi="Calibri"/>
          <w:color w:val="000000"/>
          <w:sz w:val="22"/>
          <w:szCs w:val="22"/>
        </w:rPr>
        <w:t xml:space="preserve">Transitioning into the NAFSGL Implementation phase. </w:t>
      </w:r>
    </w:p>
    <w:p w:rsidR="00462440" w:rsidRDefault="00784DF4" w:rsidP="00823A3E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784DF4">
        <w:rPr>
          <w:rFonts w:ascii="Calibri" w:hAnsi="Calibri"/>
          <w:color w:val="000000"/>
          <w:sz w:val="22"/>
          <w:szCs w:val="22"/>
        </w:rPr>
        <w:t xml:space="preserve">Beginning analysis and recommendation of </w:t>
      </w:r>
      <w:proofErr w:type="gramStart"/>
      <w:r w:rsidRPr="00784DF4">
        <w:rPr>
          <w:rFonts w:ascii="Calibri" w:hAnsi="Calibri"/>
          <w:color w:val="000000"/>
          <w:sz w:val="22"/>
          <w:szCs w:val="22"/>
        </w:rPr>
        <w:t>DoD</w:t>
      </w:r>
      <w:proofErr w:type="gramEnd"/>
      <w:r w:rsidRPr="00784DF4">
        <w:rPr>
          <w:rFonts w:ascii="Calibri" w:hAnsi="Calibri"/>
          <w:color w:val="000000"/>
          <w:sz w:val="22"/>
          <w:szCs w:val="22"/>
        </w:rPr>
        <w:t xml:space="preserve"> NAF guidance. </w:t>
      </w:r>
    </w:p>
    <w:p w:rsidR="00784DF4" w:rsidRPr="00823A3E" w:rsidRDefault="00784DF4" w:rsidP="00823A3E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784DF4">
        <w:rPr>
          <w:rFonts w:ascii="Calibri" w:hAnsi="Calibri"/>
          <w:color w:val="000000"/>
          <w:sz w:val="22"/>
          <w:szCs w:val="22"/>
        </w:rPr>
        <w:t xml:space="preserve">Wrapping up parking lot issues. </w:t>
      </w:r>
      <w:r>
        <w:rPr>
          <w:rFonts w:ascii="Calibri" w:hAnsi="Calibri"/>
          <w:color w:val="000000"/>
          <w:sz w:val="22"/>
          <w:szCs w:val="22"/>
        </w:rPr>
        <w:t>Begin to r</w:t>
      </w:r>
      <w:r w:rsidRPr="00784DF4">
        <w:rPr>
          <w:rFonts w:ascii="Calibri" w:hAnsi="Calibri"/>
          <w:color w:val="000000"/>
          <w:sz w:val="22"/>
          <w:szCs w:val="22"/>
        </w:rPr>
        <w:t>evise existing policies (1015.15 etc.)</w:t>
      </w:r>
      <w:r w:rsidR="00823A3E">
        <w:rPr>
          <w:rFonts w:ascii="Calibri" w:hAnsi="Calibri"/>
          <w:color w:val="000000"/>
          <w:sz w:val="22"/>
          <w:szCs w:val="22"/>
        </w:rPr>
        <w:t>.</w:t>
      </w:r>
    </w:p>
    <w:p w:rsidR="00784DF4" w:rsidRDefault="00784DF4" w:rsidP="00784DF4">
      <w:pPr>
        <w:pStyle w:val="NormalWeb"/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784DF4">
        <w:rPr>
          <w:rFonts w:ascii="Calibri" w:hAnsi="Calibri"/>
          <w:color w:val="000000"/>
          <w:sz w:val="22"/>
          <w:szCs w:val="22"/>
        </w:rPr>
        <w:t>NAF Financial Reporting Process and Data Repository</w:t>
      </w:r>
    </w:p>
    <w:p w:rsidR="00823A3E" w:rsidRDefault="00823A3E" w:rsidP="00823A3E">
      <w:pPr>
        <w:pStyle w:val="NormalWeb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Goal is to make data reporting and data look-ups more efficient and effective. </w:t>
      </w:r>
    </w:p>
    <w:p w:rsidR="00823A3E" w:rsidRPr="00774502" w:rsidRDefault="00823A3E" w:rsidP="00823A3E">
      <w:pPr>
        <w:pStyle w:val="NormalWeb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Concentration will be </w:t>
      </w:r>
      <w:r>
        <w:rPr>
          <w:rFonts w:ascii="Calibri" w:hAnsi="Calibri" w:cs="Calibri"/>
          <w:color w:val="000000"/>
          <w:sz w:val="22"/>
          <w:szCs w:val="22"/>
        </w:rPr>
        <w:t>on the reporting done to higher headquarters (OSD/DoD).</w:t>
      </w:r>
    </w:p>
    <w:p w:rsidR="00774502" w:rsidRDefault="00774502" w:rsidP="00774502">
      <w:pPr>
        <w:pStyle w:val="NormalWeb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data repository can also be used for short turn data calls. Will research</w:t>
      </w:r>
      <w:r w:rsidR="004F4DBC">
        <w:rPr>
          <w:rFonts w:ascii="Calibri" w:hAnsi="Calibri" w:cs="Calibri"/>
          <w:color w:val="000000"/>
          <w:sz w:val="22"/>
          <w:szCs w:val="22"/>
        </w:rPr>
        <w:t xml:space="preserve"> what</w:t>
      </w:r>
      <w:r>
        <w:rPr>
          <w:rFonts w:ascii="Calibri" w:hAnsi="Calibri" w:cs="Calibri"/>
          <w:color w:val="000000"/>
          <w:sz w:val="22"/>
          <w:szCs w:val="22"/>
        </w:rPr>
        <w:t xml:space="preserve"> the common questions</w:t>
      </w:r>
      <w:r w:rsidR="004F4DBC">
        <w:rPr>
          <w:rFonts w:ascii="Calibri" w:hAnsi="Calibri" w:cs="Calibri"/>
          <w:color w:val="000000"/>
          <w:sz w:val="22"/>
          <w:szCs w:val="22"/>
        </w:rPr>
        <w:t xml:space="preserve"> are</w:t>
      </w:r>
      <w:r>
        <w:rPr>
          <w:rFonts w:ascii="Calibri" w:hAnsi="Calibri" w:cs="Calibri"/>
          <w:color w:val="000000"/>
          <w:sz w:val="22"/>
          <w:szCs w:val="22"/>
        </w:rPr>
        <w:t xml:space="preserve"> and what types of data</w:t>
      </w:r>
      <w:r w:rsidR="004F4DBC">
        <w:rPr>
          <w:rFonts w:ascii="Calibri" w:hAnsi="Calibri" w:cs="Calibri"/>
          <w:color w:val="000000"/>
          <w:sz w:val="22"/>
          <w:szCs w:val="22"/>
        </w:rPr>
        <w:t xml:space="preserve"> calls are requested</w:t>
      </w:r>
      <w:r w:rsidR="00516E48">
        <w:rPr>
          <w:rFonts w:ascii="Calibri" w:hAnsi="Calibri" w:cs="Calibri"/>
          <w:color w:val="000000"/>
          <w:sz w:val="22"/>
          <w:szCs w:val="22"/>
        </w:rPr>
        <w:t xml:space="preserve"> to eventually try to optimize the reporting process.</w:t>
      </w:r>
    </w:p>
    <w:p w:rsidR="00784DF4" w:rsidRPr="00774502" w:rsidRDefault="00774502" w:rsidP="00774502">
      <w:pPr>
        <w:pStyle w:val="NormalWeb"/>
        <w:spacing w:after="0" w:afterAutospacing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Parking Lot Issues</w:t>
      </w:r>
      <w:r w:rsidRPr="00774502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–</w:t>
      </w:r>
      <w:r w:rsidRPr="00774502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Jeremy</w:t>
      </w:r>
    </w:p>
    <w:p w:rsidR="00774502" w:rsidRDefault="00A06CED" w:rsidP="00774502">
      <w:pPr>
        <w:pStyle w:val="ListParagraph"/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Consignment Tickets</w:t>
      </w:r>
    </w:p>
    <w:p w:rsid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A06CED">
        <w:rPr>
          <w:rFonts w:ascii="Calibri" w:hAnsi="Calibri"/>
          <w:b/>
          <w:color w:val="000000"/>
          <w:sz w:val="22"/>
          <w:szCs w:val="22"/>
        </w:rPr>
        <w:t>Marines:</w:t>
      </w:r>
      <w:r>
        <w:rPr>
          <w:rFonts w:ascii="Calibri" w:hAnsi="Calibri"/>
          <w:color w:val="000000"/>
          <w:sz w:val="22"/>
          <w:szCs w:val="22"/>
        </w:rPr>
        <w:t xml:space="preserve"> Internal audit</w:t>
      </w:r>
      <w:r w:rsidR="000838CE">
        <w:rPr>
          <w:rFonts w:ascii="Calibri" w:hAnsi="Calibri"/>
          <w:color w:val="000000"/>
          <w:sz w:val="22"/>
          <w:szCs w:val="22"/>
        </w:rPr>
        <w:t>or</w:t>
      </w:r>
      <w:r>
        <w:rPr>
          <w:rFonts w:ascii="Calibri" w:hAnsi="Calibri"/>
          <w:color w:val="000000"/>
          <w:sz w:val="22"/>
          <w:szCs w:val="22"/>
        </w:rPr>
        <w:t>s found that consignment tickets were recorded as direct sales. Recommended consignment sales recorded as commission income.  Wanted to know how other Services record these sales.</w:t>
      </w:r>
    </w:p>
    <w:p w:rsid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A06CED">
        <w:rPr>
          <w:rFonts w:ascii="Calibri" w:hAnsi="Calibri"/>
          <w:b/>
          <w:color w:val="000000"/>
          <w:sz w:val="22"/>
          <w:szCs w:val="22"/>
        </w:rPr>
        <w:t>Army:</w:t>
      </w:r>
      <w:r w:rsidR="000838CE">
        <w:rPr>
          <w:rFonts w:ascii="Calibri" w:hAnsi="Calibri"/>
          <w:color w:val="000000"/>
          <w:sz w:val="22"/>
          <w:szCs w:val="22"/>
        </w:rPr>
        <w:t xml:space="preserve"> Mostly </w:t>
      </w:r>
      <w:r>
        <w:rPr>
          <w:rFonts w:ascii="Calibri" w:hAnsi="Calibri"/>
          <w:color w:val="000000"/>
          <w:sz w:val="22"/>
          <w:szCs w:val="22"/>
        </w:rPr>
        <w:t xml:space="preserve">has direct ticket sales but when it does have consignment sales it does not account for those sales as direct sales. </w:t>
      </w:r>
    </w:p>
    <w:p w:rsidR="00A06CED" w:rsidRP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b/>
          <w:color w:val="000000"/>
          <w:sz w:val="22"/>
          <w:szCs w:val="22"/>
        </w:rPr>
      </w:pPr>
      <w:r w:rsidRPr="00A06CED">
        <w:rPr>
          <w:rFonts w:ascii="Calibri" w:hAnsi="Calibri"/>
          <w:b/>
          <w:color w:val="000000"/>
          <w:sz w:val="22"/>
          <w:szCs w:val="22"/>
        </w:rPr>
        <w:t xml:space="preserve">Air Force: </w:t>
      </w:r>
      <w:r>
        <w:rPr>
          <w:rFonts w:ascii="Calibri" w:hAnsi="Calibri"/>
          <w:color w:val="000000"/>
          <w:sz w:val="22"/>
          <w:szCs w:val="22"/>
        </w:rPr>
        <w:t>Doesn’t give the consignor any money until the tickets are sold. Treat theses consignment tickets as part of its inventory because once sold, the Air Force pays for the tickets.</w:t>
      </w:r>
    </w:p>
    <w:p w:rsidR="00A06CED" w:rsidRP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Navy: </w:t>
      </w:r>
      <w:r>
        <w:rPr>
          <w:rFonts w:ascii="Calibri" w:hAnsi="Calibri"/>
          <w:color w:val="000000"/>
          <w:sz w:val="22"/>
          <w:szCs w:val="22"/>
        </w:rPr>
        <w:t>Has similar situation as the Army. Records consignment ticket sales as a consignment sale.</w:t>
      </w:r>
    </w:p>
    <w:p w:rsid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A06CED">
        <w:rPr>
          <w:rFonts w:ascii="Calibri" w:hAnsi="Calibri"/>
          <w:b/>
          <w:color w:val="FF0000"/>
          <w:sz w:val="22"/>
          <w:szCs w:val="22"/>
        </w:rPr>
        <w:t xml:space="preserve">Action Item: </w:t>
      </w:r>
      <w:r w:rsidRPr="00A06CED">
        <w:rPr>
          <w:rFonts w:ascii="Calibri" w:hAnsi="Calibri"/>
          <w:color w:val="000000"/>
          <w:sz w:val="22"/>
          <w:szCs w:val="22"/>
        </w:rPr>
        <w:t>G</w:t>
      </w:r>
      <w:r w:rsidR="00040B24">
        <w:rPr>
          <w:rFonts w:ascii="Calibri" w:hAnsi="Calibri"/>
          <w:color w:val="000000"/>
          <w:sz w:val="22"/>
          <w:szCs w:val="22"/>
        </w:rPr>
        <w:t xml:space="preserve">rant </w:t>
      </w:r>
      <w:r w:rsidRPr="00A06CED">
        <w:rPr>
          <w:rFonts w:ascii="Calibri" w:hAnsi="Calibri"/>
          <w:color w:val="000000"/>
          <w:sz w:val="22"/>
          <w:szCs w:val="22"/>
        </w:rPr>
        <w:t>T</w:t>
      </w:r>
      <w:r w:rsidR="00040B24">
        <w:rPr>
          <w:rFonts w:ascii="Calibri" w:hAnsi="Calibri"/>
          <w:color w:val="000000"/>
          <w:sz w:val="22"/>
          <w:szCs w:val="22"/>
        </w:rPr>
        <w:t>hornton</w:t>
      </w:r>
      <w:r w:rsidRPr="00A06CED">
        <w:rPr>
          <w:rFonts w:ascii="Calibri" w:hAnsi="Calibri"/>
          <w:color w:val="000000"/>
          <w:sz w:val="22"/>
          <w:szCs w:val="22"/>
        </w:rPr>
        <w:t xml:space="preserve"> to create a decision document and research accounting standards on this topic.</w:t>
      </w:r>
    </w:p>
    <w:p w:rsidR="00A06CED" w:rsidRPr="00A06CED" w:rsidRDefault="00A06CED" w:rsidP="00A06CED">
      <w:pPr>
        <w:pStyle w:val="ListParagraph"/>
        <w:numPr>
          <w:ilvl w:val="0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Assets Purchased in Quantity </w:t>
      </w:r>
    </w:p>
    <w:p w:rsidR="00A06CED" w:rsidRPr="00A06CED" w:rsidRDefault="00A06CED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Marines wanted clarification on whole room concept guidance. Marines use whole room concept with their exchanges.</w:t>
      </w:r>
    </w:p>
    <w:p w:rsidR="00A06CED" w:rsidRDefault="00A06CED" w:rsidP="00A06CED">
      <w:pPr>
        <w:pStyle w:val="ListParagraph"/>
        <w:numPr>
          <w:ilvl w:val="2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Challenge is how to depreciate a whole room when individual items depreciate at different rates.</w:t>
      </w:r>
    </w:p>
    <w:p w:rsidR="00A06CED" w:rsidRDefault="003D3F4A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Capitalization threshold for items purchased in bulk: $2,500 and life expectancy of over 2 years.</w:t>
      </w:r>
    </w:p>
    <w:p w:rsidR="003D3F4A" w:rsidRDefault="003D3F4A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Marines requested clarification of what “</w:t>
      </w:r>
      <w:r w:rsidR="000838CE">
        <w:rPr>
          <w:rFonts w:ascii="Calibri" w:hAnsi="Calibri"/>
          <w:color w:val="000000"/>
          <w:sz w:val="22"/>
          <w:szCs w:val="22"/>
        </w:rPr>
        <w:t>similar or</w:t>
      </w:r>
      <w:r>
        <w:rPr>
          <w:rFonts w:ascii="Calibri" w:hAnsi="Calibri"/>
          <w:color w:val="000000"/>
          <w:sz w:val="22"/>
          <w:szCs w:val="22"/>
        </w:rPr>
        <w:t xml:space="preserve"> like items” means.</w:t>
      </w:r>
    </w:p>
    <w:p w:rsidR="003D3F4A" w:rsidRDefault="004F4A4D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Navy groups like-</w:t>
      </w:r>
      <w:r w:rsidR="003D3F4A">
        <w:rPr>
          <w:rFonts w:ascii="Calibri" w:hAnsi="Calibri"/>
          <w:color w:val="000000"/>
          <w:sz w:val="22"/>
          <w:szCs w:val="22"/>
        </w:rPr>
        <w:t>items and wants to continue doing that when ordering whole rooms (ex. Order items for 200 rooms).</w:t>
      </w:r>
    </w:p>
    <w:p w:rsidR="003D3F4A" w:rsidRDefault="003D3F4A" w:rsidP="00A06CED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Whole room concept used by NGIS</w:t>
      </w:r>
    </w:p>
    <w:p w:rsidR="003D3F4A" w:rsidRDefault="003D3F4A" w:rsidP="003D3F4A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3D3F4A">
        <w:rPr>
          <w:rFonts w:ascii="Calibri" w:hAnsi="Calibri"/>
          <w:b/>
          <w:color w:val="FF0000"/>
          <w:sz w:val="22"/>
          <w:szCs w:val="22"/>
        </w:rPr>
        <w:t>Action Item:</w:t>
      </w:r>
      <w:r w:rsidRPr="003D3F4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Adjust</w:t>
      </w:r>
      <w:r w:rsidRPr="003D3F4A">
        <w:rPr>
          <w:rFonts w:ascii="Calibri" w:hAnsi="Calibri"/>
          <w:color w:val="000000"/>
          <w:sz w:val="22"/>
          <w:szCs w:val="22"/>
        </w:rPr>
        <w:t xml:space="preserve"> definition in the decision document to remove </w:t>
      </w:r>
      <w:r w:rsidR="00AE1B45">
        <w:rPr>
          <w:rFonts w:ascii="Calibri" w:hAnsi="Calibri"/>
          <w:color w:val="000000"/>
          <w:sz w:val="22"/>
          <w:szCs w:val="22"/>
        </w:rPr>
        <w:t>"Identical".  Use "l</w:t>
      </w:r>
      <w:r w:rsidRPr="003D3F4A">
        <w:rPr>
          <w:rFonts w:ascii="Calibri" w:hAnsi="Calibri"/>
          <w:color w:val="000000"/>
          <w:sz w:val="22"/>
          <w:szCs w:val="22"/>
        </w:rPr>
        <w:t xml:space="preserve">ike Items" and provide examples of what </w:t>
      </w:r>
      <w:r>
        <w:rPr>
          <w:rFonts w:ascii="Calibri" w:hAnsi="Calibri"/>
          <w:color w:val="000000"/>
          <w:sz w:val="22"/>
          <w:szCs w:val="22"/>
        </w:rPr>
        <w:t>“like items”</w:t>
      </w:r>
      <w:r w:rsidRPr="003D3F4A">
        <w:rPr>
          <w:rFonts w:ascii="Calibri" w:hAnsi="Calibri"/>
          <w:color w:val="000000"/>
          <w:sz w:val="22"/>
          <w:szCs w:val="22"/>
        </w:rPr>
        <w:t xml:space="preserve"> means.</w:t>
      </w:r>
    </w:p>
    <w:p w:rsidR="009E2E6E" w:rsidRDefault="009E2E6E" w:rsidP="009E2E6E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9E2E6E">
        <w:rPr>
          <w:rFonts w:ascii="Calibri" w:hAnsi="Calibri" w:cs="Calibri"/>
          <w:color w:val="000000"/>
          <w:sz w:val="22"/>
          <w:szCs w:val="22"/>
        </w:rPr>
        <w:t>Prior Year Adjustments</w:t>
      </w:r>
    </w:p>
    <w:p w:rsidR="009E2E6E" w:rsidRDefault="009E2E6E" w:rsidP="009E2E6E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Guidance sets materiality at 1% for each NAFI. Services challenged this threshold as</w:t>
      </w:r>
      <w:r w:rsidR="00141147">
        <w:rPr>
          <w:rFonts w:ascii="Calibri" w:hAnsi="Calibri" w:cs="Calibri"/>
          <w:color w:val="000000"/>
          <w:sz w:val="22"/>
          <w:szCs w:val="22"/>
        </w:rPr>
        <w:t xml:space="preserve"> not</w:t>
      </w:r>
      <w:r>
        <w:rPr>
          <w:rFonts w:ascii="Calibri" w:hAnsi="Calibri" w:cs="Calibri"/>
          <w:color w:val="000000"/>
          <w:sz w:val="22"/>
          <w:szCs w:val="22"/>
        </w:rPr>
        <w:t xml:space="preserve"> being a proper materiality level</w:t>
      </w:r>
      <w:r w:rsidR="00141147">
        <w:rPr>
          <w:rFonts w:ascii="Calibri" w:hAnsi="Calibri" w:cs="Calibri"/>
          <w:color w:val="000000"/>
          <w:sz w:val="22"/>
          <w:szCs w:val="22"/>
        </w:rPr>
        <w:t xml:space="preserve"> threshold</w:t>
      </w:r>
      <w:r>
        <w:rPr>
          <w:rFonts w:ascii="Calibri" w:hAnsi="Calibri" w:cs="Calibri"/>
          <w:color w:val="000000"/>
          <w:sz w:val="22"/>
          <w:szCs w:val="22"/>
        </w:rPr>
        <w:t>. There are other factors that should influence the decision.</w:t>
      </w:r>
    </w:p>
    <w:p w:rsidR="00F4383B" w:rsidRPr="00F4383B" w:rsidRDefault="00F4383B" w:rsidP="009E2E6E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F4383B">
        <w:rPr>
          <w:rFonts w:ascii="Calibri" w:hAnsi="Calibri" w:cs="Calibri"/>
          <w:b/>
          <w:color w:val="000000"/>
          <w:sz w:val="22"/>
          <w:szCs w:val="22"/>
        </w:rPr>
        <w:t>Navy:</w:t>
      </w:r>
      <w:r>
        <w:rPr>
          <w:rFonts w:ascii="Calibri" w:hAnsi="Calibri" w:cs="Calibri"/>
          <w:color w:val="000000"/>
          <w:sz w:val="22"/>
          <w:szCs w:val="22"/>
        </w:rPr>
        <w:t xml:space="preserve"> Currently,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anything that is a prior year adjustment is captured. There is no threshold in place.  </w:t>
      </w:r>
    </w:p>
    <w:p w:rsidR="003D3F4A" w:rsidRPr="00F4383B" w:rsidRDefault="00F4383B" w:rsidP="00F4383B">
      <w:pPr>
        <w:pStyle w:val="ListParagraph"/>
        <w:numPr>
          <w:ilvl w:val="2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F4383B">
        <w:rPr>
          <w:rFonts w:ascii="Calibri" w:eastAsia="Times New Roman" w:hAnsi="Calibri" w:cs="Calibri"/>
          <w:color w:val="000000"/>
          <w:sz w:val="22"/>
          <w:szCs w:val="22"/>
        </w:rPr>
        <w:t>1% going forward works for Navy. Agrees that the current method isn't right</w:t>
      </w:r>
      <w:r w:rsidR="000F1F91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F4383B" w:rsidRPr="00F4383B" w:rsidRDefault="00F4383B" w:rsidP="00F4383B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F4383B">
        <w:rPr>
          <w:rFonts w:ascii="Calibri" w:eastAsia="Times New Roman" w:hAnsi="Calibri" w:cs="Calibri"/>
          <w:b/>
          <w:color w:val="000000"/>
          <w:sz w:val="22"/>
          <w:szCs w:val="22"/>
        </w:rPr>
        <w:t>Marines: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C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urrently using 1% threshold on a consolidated balance sheet.  </w:t>
      </w:r>
      <w:r>
        <w:rPr>
          <w:rFonts w:ascii="Calibri" w:eastAsia="Times New Roman" w:hAnsi="Calibri" w:cs="Calibri"/>
          <w:color w:val="000000"/>
          <w:sz w:val="22"/>
          <w:szCs w:val="22"/>
        </w:rPr>
        <w:t>H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aven't booked an entry of this magnitude because of the consolidation.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NAFIs 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might have a material entry for their installation but it doesn't meet the 1% threshold at the consolidated level.  </w:t>
      </w:r>
      <w:r>
        <w:rPr>
          <w:rFonts w:ascii="Calibri" w:eastAsia="Times New Roman" w:hAnsi="Calibri" w:cs="Calibri"/>
          <w:color w:val="000000"/>
          <w:sz w:val="22"/>
          <w:szCs w:val="22"/>
        </w:rPr>
        <w:t>Records as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expense to current year.</w:t>
      </w:r>
    </w:p>
    <w:p w:rsidR="00F4383B" w:rsidRPr="00F4383B" w:rsidRDefault="00F4383B" w:rsidP="00F4383B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F4383B">
        <w:rPr>
          <w:rFonts w:ascii="Calibri" w:eastAsia="Times New Roman" w:hAnsi="Calibri" w:cs="Calibri"/>
          <w:b/>
          <w:color w:val="000000"/>
          <w:sz w:val="22"/>
          <w:szCs w:val="22"/>
        </w:rPr>
        <w:t>Army</w:t>
      </w:r>
      <w:r w:rsidR="00131ECA" w:rsidRPr="00F4383B">
        <w:rPr>
          <w:rFonts w:ascii="Calibri" w:eastAsia="Times New Roman" w:hAnsi="Calibri" w:cs="Calibri"/>
          <w:b/>
          <w:color w:val="000000"/>
          <w:sz w:val="22"/>
          <w:szCs w:val="22"/>
        </w:rPr>
        <w:t>: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Currently, </w:t>
      </w:r>
      <w:r w:rsidR="00FD09EA">
        <w:rPr>
          <w:rFonts w:ascii="Calibri" w:eastAsia="Times New Roman" w:hAnsi="Calibri" w:cs="Calibri"/>
          <w:color w:val="000000"/>
          <w:sz w:val="22"/>
          <w:szCs w:val="22"/>
        </w:rPr>
        <w:t>the</w:t>
      </w:r>
      <w:r w:rsidR="004F4A4D">
        <w:rPr>
          <w:rFonts w:ascii="Calibri" w:eastAsia="Times New Roman" w:hAnsi="Calibri" w:cs="Calibri"/>
          <w:color w:val="000000"/>
          <w:sz w:val="22"/>
          <w:szCs w:val="22"/>
        </w:rPr>
        <w:t>y</w:t>
      </w:r>
      <w:r w:rsidR="00FD09EA">
        <w:rPr>
          <w:rFonts w:ascii="Calibri" w:eastAsia="Times New Roman" w:hAnsi="Calibri" w:cs="Calibri"/>
          <w:color w:val="000000"/>
          <w:sz w:val="22"/>
          <w:szCs w:val="22"/>
        </w:rPr>
        <w:t xml:space="preserve"> first </w:t>
      </w:r>
      <w:r w:rsidR="004F4A4D">
        <w:rPr>
          <w:rFonts w:ascii="Calibri" w:eastAsia="Times New Roman" w:hAnsi="Calibri" w:cs="Calibri"/>
          <w:color w:val="000000"/>
          <w:sz w:val="22"/>
          <w:szCs w:val="22"/>
        </w:rPr>
        <w:t>verify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that the transaction or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iginated from prior year.  Once 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>materiality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is determined</w:t>
      </w:r>
      <w:r w:rsidR="00FD09EA">
        <w:rPr>
          <w:rFonts w:ascii="Calibri" w:eastAsia="Times New Roman" w:hAnsi="Calibri" w:cs="Calibri"/>
          <w:color w:val="000000"/>
          <w:sz w:val="22"/>
          <w:szCs w:val="22"/>
        </w:rPr>
        <w:t>, they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92A41">
        <w:rPr>
          <w:rFonts w:ascii="Calibri" w:eastAsia="Times New Roman" w:hAnsi="Calibri" w:cs="Calibri"/>
          <w:color w:val="000000"/>
          <w:sz w:val="22"/>
          <w:szCs w:val="22"/>
        </w:rPr>
        <w:t>decide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how to treat it.  If </w:t>
      </w:r>
      <w:r w:rsidR="00FD09EA">
        <w:rPr>
          <w:rFonts w:ascii="Calibri" w:eastAsia="Times New Roman" w:hAnsi="Calibri" w:cs="Calibri"/>
          <w:color w:val="000000"/>
          <w:sz w:val="22"/>
          <w:szCs w:val="22"/>
        </w:rPr>
        <w:t xml:space="preserve">it was a 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>prior year</w:t>
      </w:r>
      <w:r w:rsidR="00FD09EA">
        <w:rPr>
          <w:rFonts w:ascii="Calibri" w:eastAsia="Times New Roman" w:hAnsi="Calibri" w:cs="Calibri"/>
          <w:color w:val="000000"/>
          <w:sz w:val="22"/>
          <w:szCs w:val="22"/>
        </w:rPr>
        <w:t xml:space="preserve"> transaction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>, there is a footnot</w:t>
      </w:r>
      <w:r>
        <w:rPr>
          <w:rFonts w:ascii="Calibri" w:eastAsia="Times New Roman" w:hAnsi="Calibri" w:cs="Calibri"/>
          <w:color w:val="000000"/>
          <w:sz w:val="22"/>
          <w:szCs w:val="22"/>
        </w:rPr>
        <w:t>e in an adjustment to equity b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ut it is all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done </w:t>
      </w:r>
      <w:r w:rsidR="00131ECA" w:rsidRPr="00F4383B">
        <w:rPr>
          <w:rFonts w:ascii="Calibri" w:eastAsia="Times New Roman" w:hAnsi="Calibri" w:cs="Calibri"/>
          <w:color w:val="000000"/>
          <w:sz w:val="22"/>
          <w:szCs w:val="22"/>
        </w:rPr>
        <w:t xml:space="preserve">on current year balance sheet.  </w:t>
      </w:r>
    </w:p>
    <w:p w:rsidR="00AB45EE" w:rsidRPr="00192A41" w:rsidRDefault="00131ECA" w:rsidP="00F4383B">
      <w:pPr>
        <w:pStyle w:val="ListParagraph"/>
        <w:numPr>
          <w:ilvl w:val="2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F4383B">
        <w:rPr>
          <w:rFonts w:ascii="Calibri" w:eastAsia="Times New Roman" w:hAnsi="Calibri" w:cs="Calibri"/>
          <w:color w:val="000000"/>
          <w:sz w:val="22"/>
          <w:szCs w:val="22"/>
        </w:rPr>
        <w:t>Agree with what was</w:t>
      </w:r>
      <w:r w:rsidR="00F4383B">
        <w:rPr>
          <w:rFonts w:ascii="Calibri" w:eastAsia="Times New Roman" w:hAnsi="Calibri" w:cs="Calibri"/>
          <w:color w:val="000000"/>
          <w:sz w:val="22"/>
          <w:szCs w:val="22"/>
        </w:rPr>
        <w:t xml:space="preserve"> in the decision document but asked if </w:t>
      </w:r>
      <w:r w:rsidRPr="00F4383B">
        <w:rPr>
          <w:rFonts w:ascii="Calibri" w:eastAsia="Times New Roman" w:hAnsi="Calibri" w:cs="Calibri"/>
          <w:color w:val="000000"/>
          <w:sz w:val="22"/>
          <w:szCs w:val="22"/>
        </w:rPr>
        <w:t>there other factors used to determine materiality</w:t>
      </w:r>
    </w:p>
    <w:p w:rsidR="00192A41" w:rsidRPr="00192A41" w:rsidRDefault="00192A41" w:rsidP="00192A41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192A41">
        <w:rPr>
          <w:rFonts w:ascii="Calibri" w:eastAsia="Times New Roman" w:hAnsi="Calibri" w:cs="Calibri"/>
          <w:b/>
          <w:color w:val="000000"/>
          <w:sz w:val="22"/>
          <w:szCs w:val="22"/>
        </w:rPr>
        <w:t>Air Force: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Submissions </w:t>
      </w:r>
      <w:r w:rsidR="00E9530B">
        <w:rPr>
          <w:rFonts w:ascii="Calibri" w:eastAsia="Times New Roman" w:hAnsi="Calibri" w:cs="Calibri"/>
          <w:color w:val="000000"/>
          <w:sz w:val="22"/>
          <w:szCs w:val="22"/>
        </w:rPr>
        <w:t xml:space="preserve">are taken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on case by case basis; no consistent criteria is in use.  </w:t>
      </w:r>
      <w:r w:rsidR="00E9530B">
        <w:rPr>
          <w:rFonts w:ascii="Calibri" w:eastAsia="Times New Roman" w:hAnsi="Calibri" w:cs="Calibri"/>
          <w:color w:val="000000"/>
          <w:sz w:val="22"/>
          <w:szCs w:val="22"/>
        </w:rPr>
        <w:t xml:space="preserve">They don’t necessarily </w:t>
      </w:r>
      <w:r>
        <w:rPr>
          <w:rFonts w:ascii="Calibri" w:eastAsia="Times New Roman" w:hAnsi="Calibri" w:cs="Calibri"/>
          <w:color w:val="000000"/>
          <w:sz w:val="22"/>
          <w:szCs w:val="22"/>
        </w:rPr>
        <w:t>believe</w:t>
      </w:r>
      <w:r w:rsidR="000F1F91">
        <w:rPr>
          <w:rFonts w:ascii="Calibri" w:eastAsia="Times New Roman" w:hAnsi="Calibri" w:cs="Calibri"/>
          <w:color w:val="000000"/>
          <w:sz w:val="22"/>
          <w:szCs w:val="22"/>
        </w:rPr>
        <w:t xml:space="preserve"> that a 1% threshold is</w:t>
      </w:r>
      <w:r w:rsidR="00E9530B">
        <w:rPr>
          <w:rFonts w:ascii="Calibri" w:eastAsia="Times New Roman" w:hAnsi="Calibri" w:cs="Calibri"/>
          <w:color w:val="000000"/>
          <w:sz w:val="22"/>
          <w:szCs w:val="22"/>
        </w:rPr>
        <w:t xml:space="preserve"> going to help the situation; may cause more work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192A41" w:rsidRPr="00432E3B" w:rsidRDefault="00192A41" w:rsidP="00192A41">
      <w:pPr>
        <w:pStyle w:val="ListParagraph"/>
        <w:numPr>
          <w:ilvl w:val="1"/>
          <w:numId w:val="10"/>
        </w:numPr>
        <w:rPr>
          <w:rFonts w:ascii="Calibri" w:hAnsi="Calibri"/>
          <w:color w:val="000000"/>
          <w:sz w:val="22"/>
          <w:szCs w:val="22"/>
        </w:rPr>
      </w:pPr>
      <w:r w:rsidRPr="00192A41">
        <w:rPr>
          <w:rFonts w:ascii="Calibri" w:hAnsi="Calibri"/>
          <w:b/>
          <w:color w:val="FF0000"/>
          <w:sz w:val="22"/>
          <w:szCs w:val="22"/>
        </w:rPr>
        <w:t>Action Items: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Clarify boundaries of prior year adjustment. Determine if 1% </w:t>
      </w:r>
      <w:r w:rsidR="000F1F91">
        <w:rPr>
          <w:rFonts w:ascii="Calibri" w:eastAsia="Times New Roman" w:hAnsi="Calibri" w:cs="Calibri"/>
          <w:color w:val="000000"/>
          <w:sz w:val="22"/>
          <w:szCs w:val="22"/>
        </w:rPr>
        <w:t>should be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based on NAFI level or consolidated level.</w:t>
      </w:r>
    </w:p>
    <w:p w:rsidR="00432E3B" w:rsidRDefault="00432E3B" w:rsidP="00432E3B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432E3B">
        <w:rPr>
          <w:rFonts w:ascii="Calibri" w:hAnsi="Calibri" w:cs="Calibri"/>
          <w:color w:val="000000"/>
          <w:sz w:val="22"/>
          <w:szCs w:val="22"/>
        </w:rPr>
        <w:t xml:space="preserve">Credit Card Receivables </w:t>
      </w:r>
    </w:p>
    <w:p w:rsidR="00432E3B" w:rsidRDefault="00432E3B" w:rsidP="00432E3B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Army and Marines treat this as cash and prefer it that way.</w:t>
      </w:r>
    </w:p>
    <w:p w:rsidR="00070CB5" w:rsidRDefault="000C4784" w:rsidP="00432E3B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Air Force and Navy treat</w:t>
      </w:r>
      <w:r w:rsidR="00070CB5">
        <w:rPr>
          <w:rFonts w:ascii="Calibri" w:hAnsi="Calibri" w:cs="Calibri"/>
          <w:color w:val="000000"/>
          <w:sz w:val="22"/>
          <w:szCs w:val="22"/>
        </w:rPr>
        <w:t xml:space="preserve"> it as a receivable.</w:t>
      </w:r>
    </w:p>
    <w:p w:rsidR="00070CB5" w:rsidRDefault="00070CB5" w:rsidP="00432E3B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070CB5"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hAnsi="Calibri" w:cs="Calibri"/>
          <w:color w:val="000000"/>
          <w:sz w:val="22"/>
          <w:szCs w:val="22"/>
        </w:rPr>
        <w:t xml:space="preserve"> G</w:t>
      </w:r>
      <w:r w:rsidR="00E26E5C">
        <w:rPr>
          <w:rFonts w:ascii="Calibri" w:hAnsi="Calibri" w:cs="Calibri"/>
          <w:color w:val="000000"/>
          <w:sz w:val="22"/>
          <w:szCs w:val="22"/>
        </w:rPr>
        <w:t>rant Thornton</w:t>
      </w:r>
      <w:r>
        <w:rPr>
          <w:rFonts w:ascii="Calibri" w:hAnsi="Calibri" w:cs="Calibri"/>
          <w:color w:val="000000"/>
          <w:sz w:val="22"/>
          <w:szCs w:val="22"/>
        </w:rPr>
        <w:t xml:space="preserve"> to finalize decision document and recommendation</w:t>
      </w:r>
      <w:r w:rsidR="004D66BA">
        <w:rPr>
          <w:rFonts w:ascii="Calibri" w:hAnsi="Calibri" w:cs="Calibri"/>
          <w:color w:val="000000"/>
          <w:sz w:val="22"/>
          <w:szCs w:val="22"/>
        </w:rPr>
        <w:t xml:space="preserve"> geared towards using merchant card receivables </w:t>
      </w:r>
      <w:proofErr w:type="spellStart"/>
      <w:r w:rsidR="004D66BA">
        <w:rPr>
          <w:rFonts w:ascii="Calibri" w:hAnsi="Calibri" w:cs="Calibri"/>
          <w:color w:val="000000"/>
          <w:sz w:val="22"/>
          <w:szCs w:val="22"/>
        </w:rPr>
        <w:t>appraoch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070CB5" w:rsidRDefault="00070CB5" w:rsidP="00070CB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070CB5">
        <w:rPr>
          <w:rFonts w:ascii="Calibri" w:hAnsi="Calibri" w:cs="Calibri"/>
          <w:color w:val="000000"/>
          <w:sz w:val="22"/>
          <w:szCs w:val="22"/>
        </w:rPr>
        <w:t>Workers’ Compensation</w:t>
      </w:r>
    </w:p>
    <w:p w:rsidR="00AB45EE" w:rsidRPr="003A76E9" w:rsidRDefault="00131ECA" w:rsidP="003A76E9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3A76E9">
        <w:rPr>
          <w:rFonts w:ascii="Calibri" w:eastAsia="Times New Roman" w:hAnsi="Calibri" w:cs="Calibri"/>
          <w:color w:val="000000"/>
          <w:sz w:val="22"/>
          <w:szCs w:val="22"/>
        </w:rPr>
        <w:t xml:space="preserve">On a month to month basis, deductions are made </w:t>
      </w:r>
      <w:r w:rsidR="003A76E9">
        <w:rPr>
          <w:rFonts w:ascii="Calibri" w:eastAsia="Times New Roman" w:hAnsi="Calibri" w:cs="Calibri"/>
          <w:color w:val="000000"/>
          <w:sz w:val="22"/>
          <w:szCs w:val="22"/>
        </w:rPr>
        <w:t>and all Services</w:t>
      </w:r>
      <w:r w:rsidRPr="003A76E9">
        <w:rPr>
          <w:rFonts w:ascii="Calibri" w:eastAsia="Times New Roman" w:hAnsi="Calibri" w:cs="Calibri"/>
          <w:color w:val="000000"/>
          <w:sz w:val="22"/>
          <w:szCs w:val="22"/>
        </w:rPr>
        <w:t xml:space="preserve"> put</w:t>
      </w:r>
      <w:r w:rsidR="003A76E9">
        <w:rPr>
          <w:rFonts w:ascii="Calibri" w:eastAsia="Times New Roman" w:hAnsi="Calibri" w:cs="Calibri"/>
          <w:color w:val="000000"/>
          <w:sz w:val="22"/>
          <w:szCs w:val="22"/>
        </w:rPr>
        <w:t xml:space="preserve"> money</w:t>
      </w:r>
      <w:r w:rsidRPr="003A76E9">
        <w:rPr>
          <w:rFonts w:ascii="Calibri" w:eastAsia="Times New Roman" w:hAnsi="Calibri" w:cs="Calibri"/>
          <w:color w:val="000000"/>
          <w:sz w:val="22"/>
          <w:szCs w:val="22"/>
        </w:rPr>
        <w:t xml:space="preserve"> it into a reserve liability account.  There is a 3rd par</w:t>
      </w:r>
      <w:r w:rsidR="003A76E9">
        <w:rPr>
          <w:rFonts w:ascii="Calibri" w:eastAsia="Times New Roman" w:hAnsi="Calibri" w:cs="Calibri"/>
          <w:color w:val="000000"/>
          <w:sz w:val="22"/>
          <w:szCs w:val="22"/>
        </w:rPr>
        <w:t xml:space="preserve">ty that handles the payments for </w:t>
      </w:r>
      <w:r w:rsidRPr="003A76E9">
        <w:rPr>
          <w:rFonts w:ascii="Calibri" w:eastAsia="Times New Roman" w:hAnsi="Calibri" w:cs="Calibri"/>
          <w:color w:val="000000"/>
          <w:sz w:val="22"/>
          <w:szCs w:val="22"/>
        </w:rPr>
        <w:t>some services</w:t>
      </w:r>
      <w:r w:rsidR="003A76E9">
        <w:rPr>
          <w:rFonts w:ascii="Calibri" w:eastAsia="Times New Roman" w:hAnsi="Calibri" w:cs="Calibri"/>
          <w:color w:val="000000"/>
          <w:sz w:val="22"/>
          <w:szCs w:val="22"/>
        </w:rPr>
        <w:t>; others</w:t>
      </w:r>
      <w:r w:rsidRPr="003A76E9">
        <w:rPr>
          <w:rFonts w:ascii="Calibri" w:eastAsia="Times New Roman" w:hAnsi="Calibri" w:cs="Calibri"/>
          <w:color w:val="000000"/>
          <w:sz w:val="22"/>
          <w:szCs w:val="22"/>
        </w:rPr>
        <w:t xml:space="preserve"> do the disbursing themselves.  </w:t>
      </w:r>
    </w:p>
    <w:p w:rsidR="003A76E9" w:rsidRDefault="003A76E9" w:rsidP="0091194F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1194F">
        <w:rPr>
          <w:rFonts w:ascii="Calibri" w:eastAsia="Times New Roman" w:hAnsi="Calibri" w:cs="Calibri"/>
          <w:b/>
          <w:color w:val="000000"/>
          <w:sz w:val="22"/>
          <w:szCs w:val="22"/>
        </w:rPr>
        <w:t>Navy: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Carries </w:t>
      </w:r>
      <w:r w:rsidR="003343B5">
        <w:rPr>
          <w:rFonts w:ascii="Calibri" w:eastAsia="Times New Roman" w:hAnsi="Calibri" w:cs="Calibri"/>
          <w:color w:val="000000"/>
          <w:sz w:val="22"/>
          <w:szCs w:val="22"/>
        </w:rPr>
        <w:t>it in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the restricted equity section of balance sheet.</w:t>
      </w:r>
    </w:p>
    <w:p w:rsidR="003A76E9" w:rsidRDefault="003A76E9" w:rsidP="0091194F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1194F">
        <w:rPr>
          <w:rFonts w:ascii="Calibri" w:eastAsia="Times New Roman" w:hAnsi="Calibri" w:cs="Calibri"/>
          <w:b/>
          <w:color w:val="000000"/>
          <w:sz w:val="22"/>
          <w:szCs w:val="22"/>
        </w:rPr>
        <w:t>Marines: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Carries under equity. Was an audit issue in FY13. G</w:t>
      </w:r>
      <w:r w:rsidR="00E26E5C">
        <w:rPr>
          <w:rFonts w:ascii="Calibri" w:eastAsia="Times New Roman" w:hAnsi="Calibri" w:cs="Calibri"/>
          <w:color w:val="000000"/>
          <w:sz w:val="22"/>
          <w:szCs w:val="22"/>
        </w:rPr>
        <w:t xml:space="preserve">rant </w:t>
      </w:r>
      <w:r>
        <w:rPr>
          <w:rFonts w:ascii="Calibri" w:eastAsia="Times New Roman" w:hAnsi="Calibri" w:cs="Calibri"/>
          <w:color w:val="000000"/>
          <w:sz w:val="22"/>
          <w:szCs w:val="22"/>
        </w:rPr>
        <w:t>T</w:t>
      </w:r>
      <w:r w:rsidR="00E26E5C">
        <w:rPr>
          <w:rFonts w:ascii="Calibri" w:eastAsia="Times New Roman" w:hAnsi="Calibri" w:cs="Calibri"/>
          <w:color w:val="000000"/>
          <w:sz w:val="22"/>
          <w:szCs w:val="22"/>
        </w:rPr>
        <w:t>hornton</w:t>
      </w:r>
      <w:r>
        <w:rPr>
          <w:rFonts w:ascii="Calibri" w:eastAsia="Times New Roman" w:hAnsi="Calibri" w:cs="Calibri"/>
          <w:color w:val="000000"/>
          <w:sz w:val="22"/>
          <w:szCs w:val="22"/>
        </w:rPr>
        <w:t>’s recommendation was to move it to a liability account.</w:t>
      </w:r>
    </w:p>
    <w:p w:rsidR="003A76E9" w:rsidRDefault="003A76E9" w:rsidP="0091194F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1194F">
        <w:rPr>
          <w:rFonts w:ascii="Calibri" w:eastAsia="Times New Roman" w:hAnsi="Calibri" w:cs="Calibri"/>
          <w:b/>
          <w:color w:val="000000"/>
          <w:sz w:val="22"/>
          <w:szCs w:val="22"/>
        </w:rPr>
        <w:t>Army: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Carried as a liability on the balance sheet.</w:t>
      </w:r>
    </w:p>
    <w:p w:rsidR="0091194F" w:rsidRPr="0091194F" w:rsidRDefault="003A76E9" w:rsidP="0091194F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1194F">
        <w:rPr>
          <w:rFonts w:ascii="Calibri" w:eastAsia="Times New Roman" w:hAnsi="Calibri" w:cs="Calibri"/>
          <w:b/>
          <w:color w:val="000000"/>
          <w:sz w:val="22"/>
          <w:szCs w:val="22"/>
        </w:rPr>
        <w:t>Air Force: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held as liability in the balance sheet.</w:t>
      </w:r>
    </w:p>
    <w:p w:rsidR="0091194F" w:rsidRDefault="0091194F" w:rsidP="0091194F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1194F">
        <w:rPr>
          <w:rFonts w:ascii="Calibri" w:hAnsi="Calibri"/>
          <w:b/>
          <w:color w:val="FF0000"/>
          <w:sz w:val="22"/>
          <w:szCs w:val="22"/>
        </w:rPr>
        <w:t>Action Item:</w:t>
      </w:r>
      <w:r w:rsidRPr="0091194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31ECA" w:rsidRPr="0091194F">
        <w:rPr>
          <w:rFonts w:ascii="Calibri" w:eastAsia="Times New Roman" w:hAnsi="Calibri" w:cs="Calibri"/>
          <w:color w:val="000000"/>
          <w:sz w:val="22"/>
          <w:szCs w:val="22"/>
        </w:rPr>
        <w:t xml:space="preserve">Work with </w:t>
      </w:r>
      <w:r w:rsidRPr="0091194F">
        <w:rPr>
          <w:rFonts w:ascii="Calibri" w:eastAsia="Times New Roman" w:hAnsi="Calibri" w:cs="Calibri"/>
          <w:color w:val="000000"/>
          <w:sz w:val="22"/>
          <w:szCs w:val="22"/>
        </w:rPr>
        <w:t>Services to book as</w:t>
      </w:r>
      <w:r w:rsidR="00131ECA" w:rsidRPr="0091194F">
        <w:rPr>
          <w:rFonts w:ascii="Calibri" w:eastAsia="Times New Roman" w:hAnsi="Calibri" w:cs="Calibri"/>
          <w:color w:val="000000"/>
          <w:sz w:val="22"/>
          <w:szCs w:val="22"/>
        </w:rPr>
        <w:t xml:space="preserve"> liability</w:t>
      </w:r>
      <w:r w:rsidRPr="0091194F">
        <w:rPr>
          <w:rFonts w:ascii="Calibri" w:eastAsia="Times New Roman" w:hAnsi="Calibri" w:cs="Calibri"/>
          <w:color w:val="000000"/>
          <w:sz w:val="22"/>
          <w:szCs w:val="22"/>
        </w:rPr>
        <w:t xml:space="preserve"> in balance sheet.</w:t>
      </w:r>
    </w:p>
    <w:p w:rsidR="002A2B1C" w:rsidRDefault="002A2B1C" w:rsidP="002A2B1C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2A2B1C">
        <w:rPr>
          <w:rFonts w:ascii="Calibri" w:hAnsi="Calibri" w:cs="Calibri"/>
          <w:color w:val="000000"/>
          <w:sz w:val="22"/>
          <w:szCs w:val="22"/>
        </w:rPr>
        <w:t>UFM</w:t>
      </w:r>
    </w:p>
    <w:p w:rsidR="005A6B58" w:rsidRPr="005A6B58" w:rsidRDefault="005A6B58" w:rsidP="005A6B58">
      <w:pPr>
        <w:pStyle w:val="ListParagraph"/>
        <w:numPr>
          <w:ilvl w:val="1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In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May, the working group (Navy in particular) was looking at the differ</w:t>
      </w:r>
      <w:r>
        <w:rPr>
          <w:rFonts w:ascii="Calibri" w:eastAsia="Times New Roman" w:hAnsi="Calibri" w:cs="Calibri"/>
          <w:color w:val="000000"/>
          <w:sz w:val="22"/>
          <w:szCs w:val="22"/>
        </w:rPr>
        <w:t>ence between contra accounts to back out UFM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and prevent it </w:t>
      </w:r>
      <w:r>
        <w:rPr>
          <w:rFonts w:ascii="Calibri" w:eastAsia="Times New Roman" w:hAnsi="Calibri" w:cs="Calibri"/>
          <w:color w:val="000000"/>
          <w:sz w:val="22"/>
          <w:szCs w:val="22"/>
        </w:rPr>
        <w:t>from rolling up into financials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since APF is reported separately from the NAF.  We wanted to look 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 how that reporting occurred; 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>Libraries and Fitness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 xml:space="preserve"> centers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chosen as pilot.</w:t>
      </w:r>
    </w:p>
    <w:p w:rsidR="00AB45EE" w:rsidRPr="005A6B58" w:rsidRDefault="005A6B58" w:rsidP="005A6B58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6B58">
        <w:rPr>
          <w:rFonts w:ascii="Calibri" w:eastAsia="Times New Roman" w:hAnsi="Calibri" w:cs="Calibri"/>
          <w:b/>
          <w:color w:val="000000"/>
          <w:sz w:val="22"/>
          <w:szCs w:val="22"/>
        </w:rPr>
        <w:t>Army</w:t>
      </w:r>
      <w:r w:rsidR="00131ECA" w:rsidRPr="005A6B58">
        <w:rPr>
          <w:rFonts w:ascii="Calibri" w:eastAsia="Times New Roman" w:hAnsi="Calibri" w:cs="Calibri"/>
          <w:b/>
          <w:color w:val="000000"/>
          <w:sz w:val="22"/>
          <w:szCs w:val="22"/>
        </w:rPr>
        <w:t>: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MOA is done at the beginning of the year that establishes the max amount 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 xml:space="preserve">of APF 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>allowed based on expected performance.  There is also a shortfall report that illustrates activities that are being performed that would norm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ally be provided by APF funding if the APF 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 xml:space="preserve">funding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was available. 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>Reports typically break things out to the appropriate category (NAF or APF)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>. Records UFM as income.</w:t>
      </w:r>
    </w:p>
    <w:p w:rsidR="00AB45EE" w:rsidRDefault="00131ECA" w:rsidP="005A6B58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6B58">
        <w:rPr>
          <w:rFonts w:ascii="Calibri" w:eastAsia="Times New Roman" w:hAnsi="Calibri" w:cs="Calibri"/>
          <w:b/>
          <w:color w:val="000000"/>
          <w:sz w:val="22"/>
          <w:szCs w:val="22"/>
        </w:rPr>
        <w:t>Air Force:</w:t>
      </w:r>
      <w:r w:rsid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B</w:t>
      </w:r>
      <w:r>
        <w:rPr>
          <w:rFonts w:ascii="Calibri" w:eastAsia="Times New Roman" w:hAnsi="Calibri" w:cs="Calibri"/>
          <w:color w:val="000000"/>
          <w:sz w:val="22"/>
          <w:szCs w:val="22"/>
        </w:rPr>
        <w:t>ook everything just as we would any other</w:t>
      </w:r>
      <w:r w:rsidR="00D61785">
        <w:rPr>
          <w:rFonts w:ascii="Calibri" w:eastAsia="Times New Roman" w:hAnsi="Calibri" w:cs="Calibri"/>
          <w:color w:val="000000"/>
          <w:sz w:val="22"/>
          <w:szCs w:val="22"/>
        </w:rPr>
        <w:t xml:space="preserve"> activity.  Book payments in fro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m the MOA APF funding. It all rolls up to the MWR Funds.  All of the income and expenses </w:t>
      </w: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are po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>sted to the cost center that have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benefitted from either source of funding.  It remains in that cost center then rolls up at the end of the year.  </w:t>
      </w:r>
      <w:r w:rsidR="00167A3D">
        <w:rPr>
          <w:rFonts w:ascii="Calibri" w:eastAsia="Times New Roman" w:hAnsi="Calibri" w:cs="Calibri"/>
          <w:color w:val="000000"/>
          <w:sz w:val="22"/>
          <w:szCs w:val="22"/>
        </w:rPr>
        <w:t>Air Force records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 xml:space="preserve"> UFM as income.</w:t>
      </w:r>
    </w:p>
    <w:p w:rsidR="00AB45EE" w:rsidRPr="005A6B58" w:rsidRDefault="005A6B58" w:rsidP="005A6B58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6B58">
        <w:rPr>
          <w:rFonts w:ascii="Calibri" w:eastAsia="Times New Roman" w:hAnsi="Calibri" w:cs="Calibri"/>
          <w:b/>
          <w:color w:val="000000"/>
          <w:sz w:val="22"/>
          <w:szCs w:val="22"/>
        </w:rPr>
        <w:t>Marines</w:t>
      </w:r>
      <w:r w:rsidR="00131ECA" w:rsidRPr="005A6B58">
        <w:rPr>
          <w:rFonts w:ascii="Calibri" w:eastAsia="Times New Roman" w:hAnsi="Calibri" w:cs="Calibri"/>
          <w:b/>
          <w:color w:val="000000"/>
          <w:sz w:val="22"/>
          <w:szCs w:val="22"/>
        </w:rPr>
        <w:t>:</w:t>
      </w:r>
      <w:r w:rsidR="00131EC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There is a UFM matrix that they </w:t>
      </w:r>
      <w:r w:rsidR="00131ECA">
        <w:rPr>
          <w:rFonts w:ascii="Calibri" w:eastAsia="Times New Roman" w:hAnsi="Calibri" w:cs="Calibri"/>
          <w:color w:val="000000"/>
          <w:sz w:val="22"/>
          <w:szCs w:val="22"/>
        </w:rPr>
        <w:t>aligned the 1015.15 encl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osure 4.  </w:t>
      </w:r>
      <w:r w:rsidR="006C095E">
        <w:rPr>
          <w:rFonts w:ascii="Calibri" w:eastAsia="Times New Roman" w:hAnsi="Calibri" w:cs="Calibri"/>
          <w:color w:val="000000"/>
          <w:sz w:val="22"/>
          <w:szCs w:val="22"/>
        </w:rPr>
        <w:t>They d</w:t>
      </w:r>
      <w:r w:rsidR="00131ECA">
        <w:rPr>
          <w:rFonts w:ascii="Calibri" w:eastAsia="Times New Roman" w:hAnsi="Calibri" w:cs="Calibri"/>
          <w:color w:val="000000"/>
          <w:sz w:val="22"/>
          <w:szCs w:val="22"/>
        </w:rPr>
        <w:t xml:space="preserve">eem these account codes as UFM eligible.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>All labor expenses, travel, facilities, etc. are booked in the balance sheet.</w:t>
      </w:r>
      <w:r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 Towards the bottom there is a</w:t>
      </w:r>
      <w:r w:rsidR="00131ECA" w:rsidRPr="005A6B58">
        <w:rPr>
          <w:rFonts w:ascii="Calibri" w:eastAsia="Times New Roman" w:hAnsi="Calibri" w:cs="Calibri"/>
          <w:color w:val="000000"/>
          <w:sz w:val="22"/>
          <w:szCs w:val="22"/>
        </w:rPr>
        <w:t xml:space="preserve"> section called total UFM income.  </w:t>
      </w:r>
    </w:p>
    <w:p w:rsidR="00AB45EE" w:rsidRDefault="008A3737" w:rsidP="003630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8A3737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Navy: 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 xml:space="preserve">Record UFM when income comes in as an expense offset.  </w:t>
      </w:r>
      <w:r w:rsidR="00363065">
        <w:rPr>
          <w:rFonts w:ascii="Calibri" w:eastAsia="Times New Roman" w:hAnsi="Calibri" w:cs="Calibri"/>
          <w:color w:val="000000"/>
          <w:sz w:val="22"/>
          <w:szCs w:val="22"/>
        </w:rPr>
        <w:t>At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 xml:space="preserve"> end of the year, 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>N</w:t>
      </w:r>
      <w:r w:rsidR="00363065">
        <w:rPr>
          <w:rFonts w:ascii="Calibri" w:eastAsia="Times New Roman" w:hAnsi="Calibri" w:cs="Calibri"/>
          <w:color w:val="000000"/>
          <w:sz w:val="22"/>
          <w:szCs w:val="22"/>
        </w:rPr>
        <w:t xml:space="preserve">avy is 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 xml:space="preserve">able to look at the UFM eligible cost centers and apply the UFM to those expenses.  </w:t>
      </w:r>
      <w:r w:rsidR="00BC3BBB">
        <w:rPr>
          <w:rFonts w:ascii="Calibri" w:eastAsia="Times New Roman" w:hAnsi="Calibri" w:cs="Calibri"/>
          <w:color w:val="000000"/>
          <w:sz w:val="22"/>
          <w:szCs w:val="22"/>
        </w:rPr>
        <w:t>UFM</w:t>
      </w:r>
      <w:r w:rsidR="00363065">
        <w:rPr>
          <w:rFonts w:ascii="Calibri" w:eastAsia="Times New Roman" w:hAnsi="Calibri" w:cs="Calibri"/>
          <w:color w:val="000000"/>
          <w:sz w:val="22"/>
          <w:szCs w:val="22"/>
        </w:rPr>
        <w:t xml:space="preserve"> reduce expenses; o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>nly the net rolls up into the income statement.</w:t>
      </w:r>
      <w:r w:rsidR="0036306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 xml:space="preserve">Under each expense account, there </w:t>
      </w:r>
      <w:r w:rsidR="00363065">
        <w:rPr>
          <w:rFonts w:ascii="Calibri" w:eastAsia="Times New Roman" w:hAnsi="Calibri" w:cs="Calibri"/>
          <w:color w:val="000000"/>
          <w:sz w:val="22"/>
          <w:szCs w:val="22"/>
        </w:rPr>
        <w:t>is</w:t>
      </w:r>
      <w:r w:rsidR="00131ECA" w:rsidRPr="00363065">
        <w:rPr>
          <w:rFonts w:ascii="Calibri" w:eastAsia="Times New Roman" w:hAnsi="Calibri" w:cs="Calibri"/>
          <w:color w:val="000000"/>
          <w:sz w:val="22"/>
          <w:szCs w:val="22"/>
        </w:rPr>
        <w:t xml:space="preserve"> a credit and debit in that same account.  Then there is a separate UFM account to capture that income.  </w:t>
      </w:r>
    </w:p>
    <w:p w:rsidR="00357A35" w:rsidRPr="00363065" w:rsidRDefault="00357A35" w:rsidP="00363065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357A35"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Continue to review UFM and determine course of action for all Services.</w:t>
      </w:r>
    </w:p>
    <w:p w:rsidR="00AB45EE" w:rsidRDefault="00131EC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45EE" w:rsidRDefault="00AB45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AB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077"/>
    <w:multiLevelType w:val="hybridMultilevel"/>
    <w:tmpl w:val="E5E0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5401"/>
    <w:multiLevelType w:val="multilevel"/>
    <w:tmpl w:val="D63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512CEC"/>
    <w:multiLevelType w:val="multilevel"/>
    <w:tmpl w:val="088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2C4D24"/>
    <w:multiLevelType w:val="multilevel"/>
    <w:tmpl w:val="6ACC6DF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>
    <w:nsid w:val="536E5939"/>
    <w:multiLevelType w:val="multilevel"/>
    <w:tmpl w:val="3AC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C4277"/>
    <w:multiLevelType w:val="multilevel"/>
    <w:tmpl w:val="3D0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367AEB"/>
    <w:multiLevelType w:val="multilevel"/>
    <w:tmpl w:val="A5EC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5A4FB1"/>
    <w:multiLevelType w:val="multilevel"/>
    <w:tmpl w:val="DD606C4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8">
    <w:nsid w:val="61A256D9"/>
    <w:multiLevelType w:val="multilevel"/>
    <w:tmpl w:val="0BE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DD450E"/>
    <w:multiLevelType w:val="hybridMultilevel"/>
    <w:tmpl w:val="E9EE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55B52"/>
    <w:multiLevelType w:val="multilevel"/>
    <w:tmpl w:val="659A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CA"/>
    <w:rsid w:val="00040B24"/>
    <w:rsid w:val="00070CB5"/>
    <w:rsid w:val="000838CE"/>
    <w:rsid w:val="000C4784"/>
    <w:rsid w:val="000C540C"/>
    <w:rsid w:val="000F1F91"/>
    <w:rsid w:val="00131ECA"/>
    <w:rsid w:val="00141147"/>
    <w:rsid w:val="00167A3D"/>
    <w:rsid w:val="00192A41"/>
    <w:rsid w:val="00293525"/>
    <w:rsid w:val="002A2B1C"/>
    <w:rsid w:val="003343B5"/>
    <w:rsid w:val="00357A35"/>
    <w:rsid w:val="00363065"/>
    <w:rsid w:val="003759FB"/>
    <w:rsid w:val="003A76E9"/>
    <w:rsid w:val="003D3F4A"/>
    <w:rsid w:val="00432E3B"/>
    <w:rsid w:val="00462440"/>
    <w:rsid w:val="004D66BA"/>
    <w:rsid w:val="004F4A4D"/>
    <w:rsid w:val="004F4DBC"/>
    <w:rsid w:val="00516E48"/>
    <w:rsid w:val="005A6B58"/>
    <w:rsid w:val="006716DD"/>
    <w:rsid w:val="006C095E"/>
    <w:rsid w:val="006E0160"/>
    <w:rsid w:val="00774502"/>
    <w:rsid w:val="00784DF4"/>
    <w:rsid w:val="00823A3E"/>
    <w:rsid w:val="008A3737"/>
    <w:rsid w:val="0091194F"/>
    <w:rsid w:val="009E2E6E"/>
    <w:rsid w:val="00A06CED"/>
    <w:rsid w:val="00AB45EE"/>
    <w:rsid w:val="00AD0FB5"/>
    <w:rsid w:val="00AE1B45"/>
    <w:rsid w:val="00BC3BBB"/>
    <w:rsid w:val="00D61785"/>
    <w:rsid w:val="00E26E5C"/>
    <w:rsid w:val="00E9530B"/>
    <w:rsid w:val="00F4383B"/>
    <w:rsid w:val="00FD09EA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94C16-D4D4-4AA4-9A63-0362284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2015-08-25T04:00:00+00:00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08CDA-D562-4883-AA49-04B6BC48F530}"/>
</file>

<file path=customXml/itemProps2.xml><?xml version="1.0" encoding="utf-8"?>
<ds:datastoreItem xmlns:ds="http://schemas.openxmlformats.org/officeDocument/2006/customXml" ds:itemID="{C1D3B60F-37B2-4703-8724-A0D2D26BACEB}"/>
</file>

<file path=customXml/itemProps3.xml><?xml version="1.0" encoding="utf-8"?>
<ds:datastoreItem xmlns:ds="http://schemas.openxmlformats.org/officeDocument/2006/customXml" ds:itemID="{E5E8948B-4C73-4273-9065-9D6F0364F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Denq, Tina</dc:creator>
  <cp:keywords/>
  <dc:description/>
  <cp:lastModifiedBy>Blain, Jeremy</cp:lastModifiedBy>
  <cp:revision>3</cp:revision>
  <dcterms:created xsi:type="dcterms:W3CDTF">2014-11-10T11:06:00Z</dcterms:created>
  <dcterms:modified xsi:type="dcterms:W3CDTF">2014-11-10T11:07:00Z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